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sz w:val="24"/>
          <w:szCs w:val="24"/>
        </w:rPr>
      </w:pPr>
      <w:r>
        <w:rPr>
          <w:b/>
          <w:sz w:val="24"/>
          <w:szCs w:val="24"/>
        </w:rPr>
        <w:t>Извещение акционеров о сделке, в совершении которой имеется заинтересованность</w:t>
      </w:r>
    </w:p>
    <w:p>
      <w:pPr>
        <w:pStyle w:val="NoSpacing"/>
        <w:jc w:val="both"/>
        <w:rPr>
          <w:rFonts w:ascii="Times New Roman" w:hAnsi="Times New Roman"/>
          <w:sz w:val="24"/>
          <w:szCs w:val="24"/>
        </w:rPr>
      </w:pPr>
      <w:r>
        <w:rPr>
          <w:sz w:val="24"/>
          <w:szCs w:val="24"/>
        </w:rPr>
      </w:r>
    </w:p>
    <w:p>
      <w:pPr>
        <w:pStyle w:val="NoSpacing"/>
        <w:ind w:firstLine="567"/>
        <w:jc w:val="both"/>
        <w:rPr>
          <w:rFonts w:ascii="Times New Roman" w:hAnsi="Times New Roman"/>
          <w:sz w:val="24"/>
          <w:szCs w:val="24"/>
        </w:rPr>
      </w:pPr>
      <w:r>
        <w:rPr>
          <w:sz w:val="24"/>
          <w:szCs w:val="24"/>
        </w:rPr>
        <w:t>Настоящим Открытое акционерное общество «Йошкар-Олинская кондитерская фабрика» (далее – Общество) в соответствии с п. 1.1 ст. 81 Федерального закона от 26.12.1995 года № 208-ФЗ «Об акционерных обществах» извещает акционеров Общества о сделке, в совершении которой имеется заинтересованность (далее – Сделка):</w:t>
      </w:r>
    </w:p>
    <w:p>
      <w:pPr>
        <w:pStyle w:val="NoSpacing"/>
        <w:jc w:val="both"/>
        <w:rPr>
          <w:rFonts w:ascii="Times New Roman" w:hAnsi="Times New Roman"/>
          <w:sz w:val="24"/>
          <w:szCs w:val="24"/>
        </w:rPr>
      </w:pPr>
      <w:r>
        <w:rPr>
          <w:sz w:val="24"/>
          <w:szCs w:val="24"/>
        </w:rPr>
        <w:t>Договор купли-продажи.</w:t>
      </w:r>
    </w:p>
    <w:p>
      <w:pPr>
        <w:pStyle w:val="NoSpacing"/>
        <w:ind w:firstLine="567"/>
        <w:jc w:val="both"/>
        <w:rPr>
          <w:rFonts w:ascii="Times New Roman" w:hAnsi="Times New Roman"/>
          <w:sz w:val="24"/>
          <w:szCs w:val="24"/>
        </w:rPr>
      </w:pPr>
      <w:r>
        <w:rPr>
          <w:sz w:val="24"/>
          <w:szCs w:val="24"/>
        </w:rPr>
        <w:t>Лица, являющиеся сторонами Сделки:</w:t>
      </w:r>
    </w:p>
    <w:p>
      <w:pPr>
        <w:pStyle w:val="NoSpacing"/>
        <w:jc w:val="both"/>
        <w:rPr>
          <w:rFonts w:ascii="Times New Roman" w:hAnsi="Times New Roman"/>
          <w:sz w:val="24"/>
          <w:szCs w:val="24"/>
        </w:rPr>
      </w:pPr>
      <w:r>
        <w:rPr>
          <w:sz w:val="24"/>
          <w:szCs w:val="24"/>
        </w:rPr>
        <w:t>- Открытое акционерное общество «Йошкар-Олинская кондитерская фабрика» (Продавец);</w:t>
      </w:r>
    </w:p>
    <w:p>
      <w:pPr>
        <w:pStyle w:val="NoSpacing"/>
        <w:jc w:val="both"/>
        <w:rPr>
          <w:rFonts w:ascii="Times New Roman" w:hAnsi="Times New Roman"/>
          <w:sz w:val="24"/>
          <w:szCs w:val="24"/>
        </w:rPr>
      </w:pPr>
      <w:r>
        <w:rPr>
          <w:sz w:val="24"/>
          <w:szCs w:val="24"/>
        </w:rPr>
        <w:t>- Закрытое акционерное общество «Пензенская кондитерская фабрика» (Покупатель).</w:t>
      </w:r>
    </w:p>
    <w:p>
      <w:pPr>
        <w:pStyle w:val="NoSpacing"/>
        <w:ind w:firstLine="567"/>
        <w:jc w:val="both"/>
        <w:rPr>
          <w:rFonts w:ascii="Times New Roman" w:hAnsi="Times New Roman"/>
          <w:sz w:val="24"/>
          <w:szCs w:val="24"/>
        </w:rPr>
      </w:pPr>
      <w:r>
        <w:rPr>
          <w:sz w:val="24"/>
          <w:szCs w:val="24"/>
        </w:rPr>
        <w:t>Общество планирует заключить указанную Сделку на следующих условиях:</w:t>
      </w:r>
    </w:p>
    <w:p>
      <w:pPr>
        <w:pStyle w:val="NoSpacing"/>
        <w:ind w:firstLine="567"/>
        <w:jc w:val="both"/>
        <w:rPr>
          <w:rFonts w:ascii="Times New Roman" w:hAnsi="Times New Roman"/>
          <w:sz w:val="24"/>
          <w:szCs w:val="24"/>
        </w:rPr>
      </w:pPr>
      <w:r>
        <w:rPr>
          <w:sz w:val="24"/>
          <w:szCs w:val="24"/>
        </w:rPr>
        <w:t>Предмет Сделки:</w:t>
      </w:r>
    </w:p>
    <w:p>
      <w:pPr>
        <w:pStyle w:val="NoSpacing"/>
        <w:widowControl/>
        <w:bidi w:val="0"/>
        <w:spacing w:before="0" w:after="0"/>
        <w:ind w:hanging="0" w:start="0" w:end="0"/>
        <w:jc w:val="both"/>
        <w:rPr>
          <w:rFonts w:ascii="Times New Roman" w:hAnsi="Times New Roman"/>
          <w:sz w:val="24"/>
          <w:szCs w:val="24"/>
        </w:rPr>
      </w:pPr>
      <w:r>
        <w:rPr>
          <w:color w:val="000000"/>
          <w:sz w:val="24"/>
          <w:szCs w:val="24"/>
        </w:rPr>
        <w:t>Продавец обязуется передать в собственность Покупателя ранее использованное технологическое оборудование, запасные части и материалы, а также техническую документацию, если такая имеется (далее – товар), а Покупатель обязуется принять и уплатить за товар обусловленную денежную сумму (цену) в соответствии с условиями договора;</w:t>
      </w:r>
    </w:p>
    <w:p>
      <w:pPr>
        <w:pStyle w:val="NoSpacing"/>
        <w:ind w:firstLine="567"/>
        <w:jc w:val="both"/>
        <w:rPr>
          <w:rFonts w:ascii="Times New Roman" w:hAnsi="Times New Roman"/>
          <w:sz w:val="24"/>
          <w:szCs w:val="24"/>
        </w:rPr>
      </w:pPr>
      <w:r>
        <w:rPr>
          <w:sz w:val="24"/>
          <w:szCs w:val="24"/>
        </w:rPr>
        <w:t>Цена Сделки:</w:t>
      </w:r>
    </w:p>
    <w:p>
      <w:pPr>
        <w:pStyle w:val="NoSpacing"/>
        <w:widowControl/>
        <w:bidi w:val="0"/>
        <w:spacing w:before="0" w:after="0"/>
        <w:ind w:hanging="0" w:start="0" w:end="0"/>
        <w:jc w:val="both"/>
        <w:rPr>
          <w:rFonts w:ascii="Times New Roman" w:hAnsi="Times New Roman"/>
          <w:sz w:val="24"/>
          <w:szCs w:val="24"/>
        </w:rPr>
      </w:pPr>
      <w:r>
        <w:rPr>
          <w:color w:val="000000"/>
          <w:sz w:val="24"/>
          <w:szCs w:val="24"/>
        </w:rPr>
        <w:t>Общая сумма договора равна сумме всех приложений (спецификаций) к нему и не может превышать 2.499.000 (два миллиона четыреста девяносто девять тысяч) рублей, в том числе НДС 20 %</w:t>
      </w:r>
      <w:r>
        <w:rPr>
          <w:sz w:val="24"/>
          <w:szCs w:val="24"/>
        </w:rPr>
        <w:t>;</w:t>
      </w:r>
    </w:p>
    <w:p>
      <w:pPr>
        <w:pStyle w:val="NoSpacing"/>
        <w:ind w:firstLine="567"/>
        <w:jc w:val="both"/>
        <w:rPr>
          <w:rFonts w:ascii="Times New Roman" w:hAnsi="Times New Roman"/>
          <w:sz w:val="24"/>
          <w:szCs w:val="24"/>
        </w:rPr>
      </w:pPr>
      <w:r>
        <w:rPr>
          <w:sz w:val="24"/>
          <w:szCs w:val="24"/>
        </w:rPr>
        <w:t>Иные существенные условия Сделки или порядок их определения:</w:t>
      </w:r>
    </w:p>
    <w:p>
      <w:pPr>
        <w:pStyle w:val="NoSpacing"/>
        <w:jc w:val="both"/>
        <w:rPr>
          <w:rFonts w:ascii="Times New Roman" w:hAnsi="Times New Roman"/>
          <w:sz w:val="24"/>
          <w:szCs w:val="24"/>
        </w:rPr>
      </w:pPr>
      <w:r>
        <w:rPr>
          <w:color w:val="000000"/>
          <w:sz w:val="24"/>
          <w:szCs w:val="24"/>
        </w:rPr>
        <w:t>Наименование, цена, количество, комплектация, срок поставки и условия оплаты указываются в приложениях (спецификациях), являющихся неотъемлемыми частями договора. Передача товара Покупателю осуществляется в срок не позднее 15 календарных дней с даты подписания соответствующего приложения (спецификации) к договору со склада Продавца (самовывоз). Договор вступает в силу с даты его подписания обеими сторонами и действует в течение 12 месяцев. Договор считается продленным еще на 1 год на аналогичных условиях, если не менее чем за 10 календарных дней до истечения срока его действия ни от одной из сторон не поступит письменного отказа от его пролонгации. Количество пролонгаций не ограничено</w:t>
      </w:r>
      <w:r>
        <w:rPr>
          <w:sz w:val="24"/>
          <w:szCs w:val="24"/>
        </w:rPr>
        <w:t>.</w:t>
      </w:r>
    </w:p>
    <w:p>
      <w:pPr>
        <w:pStyle w:val="NoSpacing"/>
        <w:jc w:val="both"/>
        <w:rPr>
          <w:rFonts w:ascii="Times New Roman" w:hAnsi="Times New Roman"/>
          <w:sz w:val="24"/>
          <w:szCs w:val="24"/>
        </w:rPr>
      </w:pPr>
      <w:r>
        <w:rPr>
          <w:sz w:val="24"/>
          <w:szCs w:val="24"/>
        </w:rPr>
      </w:r>
    </w:p>
    <w:p>
      <w:pPr>
        <w:pStyle w:val="NoSpacing"/>
        <w:ind w:firstLine="567"/>
        <w:jc w:val="both"/>
        <w:rPr>
          <w:rFonts w:ascii="Times New Roman" w:hAnsi="Times New Roman"/>
          <w:sz w:val="24"/>
          <w:szCs w:val="24"/>
        </w:rPr>
      </w:pPr>
      <w:r>
        <w:rPr>
          <w:sz w:val="24"/>
          <w:szCs w:val="24"/>
        </w:rPr>
        <w:t>Лицо (лица), имеющие заинтересованность в совершении Сделки, а также основания, по которым лицо (каждое из лиц), имеющее заинтересованность в совершении Сделки, является таковым:</w:t>
      </w:r>
    </w:p>
    <w:tbl>
      <w:tblPr>
        <w:tblStyle w:val="a6"/>
        <w:tblW w:w="10200" w:type="dxa"/>
        <w:jc w:val="start"/>
        <w:tblInd w:w="97" w:type="dxa"/>
        <w:tblLayout w:type="fixed"/>
        <w:tblCellMar>
          <w:top w:w="0" w:type="dxa"/>
          <w:start w:w="108" w:type="dxa"/>
          <w:bottom w:w="0" w:type="dxa"/>
          <w:end w:w="108" w:type="dxa"/>
        </w:tblCellMar>
        <w:tblLook w:val="04a0" w:noHBand="0" w:noVBand="1" w:firstColumn="1" w:lastRow="0" w:lastColumn="0" w:firstRow="1"/>
      </w:tblPr>
      <w:tblGrid>
        <w:gridCol w:w="4829"/>
        <w:gridCol w:w="5370"/>
      </w:tblGrid>
      <w:tr>
        <w:trPr/>
        <w:tc>
          <w:tcPr>
            <w:tcW w:w="4829" w:type="dxa"/>
            <w:tcBorders/>
          </w:tcPr>
          <w:p>
            <w:pPr>
              <w:pStyle w:val="NoSpacing"/>
              <w:widowControl/>
              <w:suppressAutoHyphens w:val="true"/>
              <w:spacing w:before="0" w:after="0"/>
              <w:jc w:val="center"/>
              <w:rPr>
                <w:rFonts w:ascii="Times New Roman" w:hAnsi="Times New Roman" w:eastAsia="Times New Roman" w:cs="Times New Roman"/>
                <w:kern w:val="0"/>
                <w:sz w:val="24"/>
                <w:szCs w:val="24"/>
                <w:lang w:val="ru-RU" w:eastAsia="ru-RU" w:bidi="ar-SA"/>
              </w:rPr>
            </w:pPr>
            <w:r>
              <w:rPr>
                <w:rFonts w:eastAsia="Times New Roman" w:cs="Times New Roman"/>
                <w:b/>
                <w:kern w:val="0"/>
                <w:sz w:val="24"/>
                <w:szCs w:val="24"/>
                <w:lang w:val="ru-RU" w:eastAsia="ru-RU" w:bidi="ar-SA"/>
              </w:rPr>
              <w:t>Наименование лица (лиц)</w:t>
            </w:r>
          </w:p>
        </w:tc>
        <w:tc>
          <w:tcPr>
            <w:tcW w:w="5370" w:type="dxa"/>
            <w:tcBorders/>
          </w:tcPr>
          <w:p>
            <w:pPr>
              <w:pStyle w:val="NoSpacing"/>
              <w:widowControl/>
              <w:suppressAutoHyphens w:val="true"/>
              <w:spacing w:before="0" w:after="0"/>
              <w:jc w:val="center"/>
              <w:rPr>
                <w:rFonts w:ascii="Times New Roman" w:hAnsi="Times New Roman" w:eastAsia="Times New Roman" w:cs="Times New Roman"/>
                <w:kern w:val="0"/>
                <w:sz w:val="24"/>
                <w:szCs w:val="24"/>
                <w:lang w:val="ru-RU" w:eastAsia="ru-RU" w:bidi="ar-SA"/>
              </w:rPr>
            </w:pPr>
            <w:r>
              <w:rPr>
                <w:rFonts w:eastAsia="Times New Roman" w:cs="Times New Roman"/>
                <w:b/>
                <w:kern w:val="0"/>
                <w:sz w:val="24"/>
                <w:szCs w:val="24"/>
                <w:lang w:val="ru-RU" w:eastAsia="ru-RU" w:bidi="ar-SA"/>
              </w:rPr>
              <w:t>Основания заинтересованности</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Члены Совета директоров Общества:</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Харин Алексей Анатольевич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Александр Юрьевич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Алексей Юрьевич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en-US" w:eastAsia="ru-RU" w:bidi="ar-SA"/>
              </w:rPr>
              <w:t>Ирин Георгий Александрович</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Занимают должности в органах управления управляющей организации Закрытого акционерного общества «Пензенская кондитерская фабрика»</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Члены Совета директоров Общества:</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Харин Алексей Анатольевич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Александр Юрьевич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Петров Алексей Юрьевич</w:t>
            </w:r>
          </w:p>
          <w:p>
            <w:pPr>
              <w:pStyle w:val="NoSpacing"/>
              <w:widowControl/>
              <w:numPr>
                <w:ilvl w:val="0"/>
                <w:numId w:val="1"/>
              </w:numPr>
              <w:suppressAutoHyphens w:val="true"/>
              <w:spacing w:before="0" w:after="0"/>
              <w:ind w:hanging="360" w:start="426"/>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Бутко Кирилл Викторович</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Занимают должности в органах управления Закрытого акционерного общества «Пензенская кондитерская фабрика»</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Единоличный исполнительный орган Общества:</w:t>
            </w:r>
          </w:p>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Общество с ограниченной ответственностью «Объединенные кондитеры»</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Является единоличным исполнительным органом Закрытого акционерного общества «Пензенская кондитерская фабрика»</w:t>
            </w:r>
          </w:p>
        </w:tc>
      </w:tr>
      <w:tr>
        <w:trPr/>
        <w:tc>
          <w:tcPr>
            <w:tcW w:w="4829"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u w:val="single"/>
                <w:lang w:val="ru-RU" w:eastAsia="ru-RU" w:bidi="ar-SA"/>
              </w:rPr>
              <w:t>Контролирующее лицо Общества:</w:t>
            </w:r>
          </w:p>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Акционерное общество «Холдинговая компания «Объединенные кондитеры», имеющее право прямо распоряжаться более 50 % голосов в высшем органе управления Общества</w:t>
            </w:r>
          </w:p>
        </w:tc>
        <w:tc>
          <w:tcPr>
            <w:tcW w:w="5370" w:type="dxa"/>
            <w:tcBorders/>
          </w:tcPr>
          <w:p>
            <w:pPr>
              <w:pStyle w:val="NoSpacing"/>
              <w:widowControl/>
              <w:suppressAutoHyphens w:val="true"/>
              <w:spacing w:before="0" w:after="0"/>
              <w:jc w:val="both"/>
              <w:rPr>
                <w:rFonts w:ascii="Times New Roman" w:hAnsi="Times New Roman" w:eastAsia="Times New Roman" w:cs="Times New Roman"/>
                <w:kern w:val="0"/>
                <w:sz w:val="24"/>
                <w:szCs w:val="24"/>
                <w:lang w:val="ru-RU" w:eastAsia="ru-RU" w:bidi="ar-SA"/>
              </w:rPr>
            </w:pPr>
            <w:r>
              <w:rPr>
                <w:rFonts w:eastAsia="Times New Roman" w:cs="Times New Roman"/>
                <w:kern w:val="0"/>
                <w:sz w:val="24"/>
                <w:szCs w:val="24"/>
                <w:lang w:val="ru-RU" w:eastAsia="ru-RU" w:bidi="ar-SA"/>
              </w:rPr>
              <w:t>Является контролирующим лицом Закрытого акционерного общества «Пензенская кондитерская фабрика», имеющим право прямо распоряжаться более 50 % голосов в высшем органе управления Закрытого акционерного общества «Пензенская кондитерская фабрика»</w:t>
            </w:r>
          </w:p>
        </w:tc>
      </w:tr>
    </w:tbl>
    <w:p>
      <w:pPr>
        <w:pStyle w:val="NoSpacing"/>
        <w:jc w:val="both"/>
        <w:rPr>
          <w:rFonts w:ascii="Times New Roman" w:hAnsi="Times New Roman"/>
          <w:sz w:val="24"/>
          <w:szCs w:val="24"/>
        </w:rPr>
      </w:pPr>
      <w:r>
        <w:rPr>
          <w:sz w:val="24"/>
          <w:szCs w:val="24"/>
        </w:rPr>
      </w:r>
    </w:p>
    <w:p>
      <w:pPr>
        <w:pStyle w:val="NoSpacing"/>
        <w:jc w:val="both"/>
        <w:rPr>
          <w:rFonts w:ascii="Times New Roman" w:hAnsi="Times New Roman"/>
          <w:sz w:val="24"/>
          <w:szCs w:val="24"/>
        </w:rPr>
      </w:pPr>
      <w:r>
        <w:rPr>
          <w:sz w:val="24"/>
          <w:szCs w:val="24"/>
        </w:rPr>
      </w:r>
    </w:p>
    <w:p>
      <w:pPr>
        <w:pStyle w:val="NoSpacing"/>
        <w:jc w:val="both"/>
        <w:rPr>
          <w:rFonts w:ascii="Times New Roman" w:hAnsi="Times New Roman"/>
          <w:sz w:val="24"/>
          <w:szCs w:val="24"/>
        </w:rPr>
      </w:pPr>
      <w:r>
        <w:rPr>
          <w:sz w:val="24"/>
          <w:szCs w:val="24"/>
        </w:rPr>
        <w:t>02 сентября 2025 года</w:t>
      </w:r>
    </w:p>
    <w:sectPr>
      <w:type w:val="nextPage"/>
      <w:pgSz w:w="11906" w:h="16838"/>
      <w:pgMar w:left="851" w:right="851" w:gutter="0" w:header="0" w:top="454" w:footer="0" w:bottom="45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ahoma">
    <w:charset w:val="01" w:characterSet="utf-8"/>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800fb4"/>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paragraph" w:styleId="Heading1">
    <w:name w:val="heading 1"/>
    <w:basedOn w:val="Normal"/>
    <w:next w:val="Normal"/>
    <w:link w:val="1"/>
    <w:uiPriority w:val="99"/>
    <w:qFormat/>
    <w:rsid w:val="00635792"/>
    <w:pPr>
      <w:spacing w:before="108" w:after="108"/>
      <w:jc w:val="center"/>
      <w:outlineLvl w:val="0"/>
    </w:pPr>
    <w:rPr>
      <w:rFonts w:ascii="Arial" w:hAnsi="Arial" w:cs="Arial"/>
      <w:b/>
      <w:bCs/>
      <w:color w:val="26282F"/>
    </w:rPr>
  </w:style>
  <w:style w:type="character" w:styleId="DefaultParagraphFont" w:default="1">
    <w:name w:val="Default Paragraph Font"/>
    <w:uiPriority w:val="1"/>
    <w:semiHidden/>
    <w:unhideWhenUsed/>
    <w:qFormat/>
    <w:rPr/>
  </w:style>
  <w:style w:type="character" w:styleId="1" w:customStyle="1">
    <w:name w:val="Заголовок 1 Знак"/>
    <w:basedOn w:val="DefaultParagraphFont"/>
    <w:uiPriority w:val="99"/>
    <w:qFormat/>
    <w:rsid w:val="00635792"/>
    <w:rPr>
      <w:rFonts w:ascii="Arial" w:hAnsi="Arial" w:cs="Arial"/>
      <w:b/>
      <w:bCs/>
      <w:color w:val="26282F"/>
      <w:sz w:val="24"/>
      <w:szCs w:val="24"/>
    </w:rPr>
  </w:style>
  <w:style w:type="paragraph" w:styleId="Style13">
    <w:name w:val="Заголовок"/>
    <w:basedOn w:val="Normal"/>
    <w:next w:val="BodyText"/>
    <w:qFormat/>
    <w:pPr>
      <w:keepNext w:val="true"/>
      <w:spacing w:before="240" w:after="120"/>
    </w:pPr>
    <w:rPr>
      <w:rFonts w:ascii="Liberation Sans" w:hAnsi="Liberation Sans" w:eastAsia="Tahoma" w:cs="Droid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Droid Sans"/>
    </w:rPr>
  </w:style>
  <w:style w:type="paragraph" w:styleId="Caption">
    <w:name w:val="caption"/>
    <w:basedOn w:val="Normal"/>
    <w:qFormat/>
    <w:pPr>
      <w:suppressLineNumbers/>
      <w:spacing w:before="120" w:after="120"/>
    </w:pPr>
    <w:rPr>
      <w:rFonts w:cs="Droid Sans"/>
      <w:i/>
      <w:iCs/>
      <w:sz w:val="24"/>
      <w:szCs w:val="24"/>
    </w:rPr>
  </w:style>
  <w:style w:type="paragraph" w:styleId="Style14">
    <w:name w:val="Указатель"/>
    <w:basedOn w:val="Normal"/>
    <w:qFormat/>
    <w:pPr>
      <w:suppressLineNumbers/>
    </w:pPr>
    <w:rPr>
      <w:rFonts w:cs="Droid Sans"/>
    </w:rPr>
  </w:style>
  <w:style w:type="paragraph" w:styleId="user">
    <w:name w:val="Заголовок (user)"/>
    <w:basedOn w:val="Normal"/>
    <w:next w:val="BodyText"/>
    <w:qFormat/>
    <w:pPr>
      <w:keepNext w:val="true"/>
      <w:spacing w:before="240" w:after="120"/>
    </w:pPr>
    <w:rPr>
      <w:rFonts w:ascii="Liberation Sans" w:hAnsi="Liberation Sans" w:eastAsia="Tahoma" w:cs="Droid Sans"/>
      <w:sz w:val="28"/>
      <w:szCs w:val="28"/>
    </w:rPr>
  </w:style>
  <w:style w:type="paragraph" w:styleId="user1">
    <w:name w:val="Указатель (user)"/>
    <w:basedOn w:val="Normal"/>
    <w:qFormat/>
    <w:pPr>
      <w:suppressLineNumbers/>
    </w:pPr>
    <w:rPr>
      <w:rFonts w:cs="Droid Sans"/>
    </w:rPr>
  </w:style>
  <w:style w:type="paragraph" w:styleId="BodyText3">
    <w:name w:val="Body Text 3"/>
    <w:basedOn w:val="Normal"/>
    <w:qFormat/>
    <w:rsid w:val="004418e5"/>
    <w:pPr>
      <w:jc w:val="both"/>
    </w:pPr>
    <w:rPr>
      <w:b/>
      <w:bCs/>
      <w:i/>
    </w:rPr>
  </w:style>
  <w:style w:type="paragraph" w:styleId="DocumentMap">
    <w:name w:val="Document Map"/>
    <w:basedOn w:val="Normal"/>
    <w:semiHidden/>
    <w:qFormat/>
    <w:rsid w:val="008b1837"/>
    <w:pPr>
      <w:shd w:val="clear" w:color="auto" w:fill="000080"/>
    </w:pPr>
    <w:rPr>
      <w:rFonts w:ascii="Tahoma" w:hAnsi="Tahoma" w:cs="Tahoma"/>
      <w:sz w:val="20"/>
      <w:szCs w:val="20"/>
    </w:rPr>
  </w:style>
  <w:style w:type="paragraph" w:styleId="BalloonText">
    <w:name w:val="Balloon Text"/>
    <w:basedOn w:val="Normal"/>
    <w:semiHidden/>
    <w:qFormat/>
    <w:rsid w:val="00d72720"/>
    <w:pPr/>
    <w:rPr>
      <w:rFonts w:ascii="Tahoma" w:hAnsi="Tahoma" w:cs="Tahoma"/>
      <w:sz w:val="16"/>
      <w:szCs w:val="16"/>
    </w:rPr>
  </w:style>
  <w:style w:type="paragraph" w:styleId="BodyText2">
    <w:name w:val="Body Text 2"/>
    <w:basedOn w:val="Normal"/>
    <w:qFormat/>
    <w:rsid w:val="000c6019"/>
    <w:pPr>
      <w:spacing w:lineRule="auto" w:line="480" w:before="0" w:after="120"/>
    </w:pPr>
    <w:rPr/>
  </w:style>
  <w:style w:type="paragraph" w:styleId="NoSpacing">
    <w:name w:val="No Spacing"/>
    <w:uiPriority w:val="1"/>
    <w:qFormat/>
    <w:rsid w:val="00cb153a"/>
    <w:pPr>
      <w:widowControl/>
      <w:suppressAutoHyphens w:val="true"/>
      <w:bidi w:val="0"/>
      <w:spacing w:before="0" w:after="0"/>
      <w:jc w:val="start"/>
    </w:pPr>
    <w:rPr>
      <w:rFonts w:ascii="Times New Roman" w:hAnsi="Times New Roman" w:eastAsia="Times New Roman" w:cs="Times New Roman"/>
      <w:color w:val="auto"/>
      <w:kern w:val="0"/>
      <w:sz w:val="24"/>
      <w:szCs w:val="24"/>
      <w:lang w:val="ru-RU" w:eastAsia="ru-RU" w:bidi="ar-SA"/>
    </w:rPr>
  </w:style>
  <w:style w:type="numbering" w:styleId="Style15" w:default="1">
    <w:name w:val="Без списка"/>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6">
    <w:name w:val="Table Grid"/>
    <w:basedOn w:val="a1"/>
    <w:rsid w:val="00dd1a8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LibreOffice/24.8.5.2$Linux_X86_64 LibreOffice_project/480$Build-2</Application>
  <AppVersion>15.0000</AppVersion>
  <Pages>1</Pages>
  <Words>417</Words>
  <Characters>2974</Characters>
  <CharactersWithSpaces>3351</CharactersWithSpaces>
  <Paragraphs>35</Paragraphs>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2024-08-01T09:19:00Z</dcterms:created>
  <dc:creator>rsefimov</dc:creator>
  <dc:description/>
  <dc:language>ru-RU</dc:language>
  <cp:lastModifiedBy/>
  <cp:lastPrinted>2020-01-23T10:18:00Z</cp:lastPrinted>
  <dcterms:modified xsi:type="dcterms:W3CDTF">2025-09-02T08:21:53Z</dcterms:modified>
  <cp:revision>11</cp:revision>
  <dc:subject/>
  <dc:title>Утверждено Советом директоров</dc:title>
</cp:coreProperties>
</file>

<file path=docProps/custom.xml><?xml version="1.0" encoding="utf-8"?>
<Properties xmlns="http://schemas.openxmlformats.org/officeDocument/2006/custom-properties" xmlns:vt="http://schemas.openxmlformats.org/officeDocument/2006/docPropsVTypes"/>
</file>