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sz w:val="24"/>
          <w:szCs w:val="24"/>
        </w:rPr>
      </w:pPr>
      <w:r>
        <w:rPr>
          <w:b/>
          <w:sz w:val="24"/>
          <w:szCs w:val="24"/>
        </w:rPr>
        <w:t>Извещение акционеров о сделке, в совершении которой имеется заинтересованность</w:t>
      </w:r>
    </w:p>
    <w:p>
      <w:pPr>
        <w:pStyle w:val="NoSpacing"/>
        <w:jc w:val="both"/>
        <w:rPr>
          <w:rFonts w:ascii="Times New Roman" w:hAnsi="Times New Roman"/>
          <w:sz w:val="24"/>
          <w:szCs w:val="24"/>
        </w:rPr>
      </w:pPr>
      <w:r>
        <w:rPr>
          <w:sz w:val="24"/>
          <w:szCs w:val="24"/>
        </w:rPr>
      </w:r>
    </w:p>
    <w:p>
      <w:pPr>
        <w:pStyle w:val="NoSpacing"/>
        <w:ind w:firstLine="567"/>
        <w:jc w:val="both"/>
        <w:rPr>
          <w:rFonts w:ascii="Times New Roman" w:hAnsi="Times New Roman"/>
          <w:sz w:val="24"/>
          <w:szCs w:val="24"/>
        </w:rPr>
      </w:pPr>
      <w:r>
        <w:rPr>
          <w:sz w:val="24"/>
          <w:szCs w:val="24"/>
        </w:rPr>
        <w:t>Настоящим Открытое акционерное общество «Йошкар-Олинская кондитерская фабрика» (далее – Общество) в соответствии с п. 1.1 ст. 81 Федерального закона от 26.12.1995 года № 208-ФЗ «Об акционерных обществах» извещает акционеров Общества о сделке, в совершении которой имеется заинтересованность (далее – Сделка):</w:t>
      </w:r>
    </w:p>
    <w:p>
      <w:pPr>
        <w:pStyle w:val="NoSpacing"/>
        <w:jc w:val="both"/>
        <w:rPr>
          <w:rFonts w:ascii="Times New Roman" w:hAnsi="Times New Roman"/>
          <w:sz w:val="24"/>
          <w:szCs w:val="24"/>
        </w:rPr>
      </w:pPr>
      <w:r>
        <w:rPr>
          <w:sz w:val="24"/>
          <w:szCs w:val="24"/>
        </w:rPr>
        <w:t>Договор купли-продажи.</w:t>
      </w:r>
    </w:p>
    <w:p>
      <w:pPr>
        <w:pStyle w:val="NoSpacing"/>
        <w:ind w:firstLine="567"/>
        <w:jc w:val="both"/>
        <w:rPr>
          <w:rFonts w:ascii="Times New Roman" w:hAnsi="Times New Roman"/>
          <w:sz w:val="24"/>
          <w:szCs w:val="24"/>
        </w:rPr>
      </w:pPr>
      <w:r>
        <w:rPr>
          <w:sz w:val="24"/>
          <w:szCs w:val="24"/>
        </w:rPr>
        <w:t>Лица, являющиеся сторонами Сделки:</w:t>
      </w:r>
    </w:p>
    <w:p>
      <w:pPr>
        <w:pStyle w:val="NoSpacing"/>
        <w:jc w:val="both"/>
        <w:rPr>
          <w:rFonts w:ascii="Times New Roman" w:hAnsi="Times New Roman"/>
          <w:sz w:val="24"/>
          <w:szCs w:val="24"/>
        </w:rPr>
      </w:pPr>
      <w:r>
        <w:rPr>
          <w:sz w:val="24"/>
          <w:szCs w:val="24"/>
        </w:rPr>
        <w:t>- Открытое акционерное общество «Йошкар-Олинская кондитерская фабрика» (Продавец);</w:t>
      </w:r>
    </w:p>
    <w:p>
      <w:pPr>
        <w:pStyle w:val="NoSpacing"/>
        <w:jc w:val="both"/>
        <w:rPr>
          <w:rFonts w:ascii="Times New Roman" w:hAnsi="Times New Roman"/>
          <w:sz w:val="24"/>
          <w:szCs w:val="24"/>
        </w:rPr>
      </w:pPr>
      <w:r>
        <w:rPr>
          <w:sz w:val="24"/>
          <w:szCs w:val="24"/>
        </w:rPr>
        <w:t>- Закрытое акционерное общество «Пензенская кондитерская фабрика» (Покупатель).</w:t>
      </w:r>
    </w:p>
    <w:p>
      <w:pPr>
        <w:pStyle w:val="NoSpacing"/>
        <w:ind w:firstLine="567"/>
        <w:jc w:val="both"/>
        <w:rPr>
          <w:rFonts w:ascii="Times New Roman" w:hAnsi="Times New Roman"/>
          <w:sz w:val="24"/>
          <w:szCs w:val="24"/>
        </w:rPr>
      </w:pPr>
      <w:r>
        <w:rPr>
          <w:sz w:val="24"/>
          <w:szCs w:val="24"/>
        </w:rPr>
        <w:t>Общество планирует заключить указанную Сделку на следующих условиях:</w:t>
      </w:r>
    </w:p>
    <w:p>
      <w:pPr>
        <w:pStyle w:val="NoSpacing"/>
        <w:ind w:firstLine="567"/>
        <w:jc w:val="both"/>
        <w:rPr>
          <w:rFonts w:ascii="Times New Roman" w:hAnsi="Times New Roman"/>
          <w:sz w:val="24"/>
          <w:szCs w:val="24"/>
        </w:rPr>
      </w:pPr>
      <w:r>
        <w:rPr>
          <w:sz w:val="24"/>
          <w:szCs w:val="24"/>
        </w:rPr>
        <w:t>Предмет Сделки:</w:t>
      </w:r>
    </w:p>
    <w:p>
      <w:pPr>
        <w:pStyle w:val="NoSpacing"/>
        <w:jc w:val="both"/>
        <w:rPr/>
      </w:pPr>
      <w:r>
        <w:rPr>
          <w:rFonts w:ascii="Times New Roman" w:hAnsi="Times New Roman"/>
          <w:sz w:val="24"/>
          <w:szCs w:val="24"/>
        </w:rPr>
        <w:t>Продавец обязуется передать в собственность Покупателя товарно-материальные ценности (запчасти, комплектующие и расходные материалы) (далее – товар), а Покупатель обязуется принять и оплатить за них обусловленную денежную сумму (цену);</w:t>
      </w:r>
    </w:p>
    <w:p>
      <w:pPr>
        <w:pStyle w:val="NoSpacing"/>
        <w:ind w:firstLine="567"/>
        <w:jc w:val="both"/>
        <w:rPr>
          <w:rFonts w:ascii="Times New Roman" w:hAnsi="Times New Roman"/>
          <w:sz w:val="24"/>
          <w:szCs w:val="24"/>
        </w:rPr>
      </w:pPr>
      <w:r>
        <w:rPr>
          <w:sz w:val="24"/>
          <w:szCs w:val="24"/>
        </w:rPr>
        <w:t>Цена Сделки:</w:t>
      </w:r>
    </w:p>
    <w:p>
      <w:pPr>
        <w:pStyle w:val="NoSpacing"/>
        <w:widowControl/>
        <w:bidi w:val="0"/>
        <w:spacing w:before="0" w:after="0"/>
        <w:ind w:hanging="0" w:start="0" w:end="0"/>
        <w:jc w:val="both"/>
        <w:rPr>
          <w:rFonts w:ascii="Times New Roman" w:hAnsi="Times New Roman"/>
          <w:sz w:val="24"/>
          <w:szCs w:val="24"/>
        </w:rPr>
      </w:pPr>
      <w:r>
        <w:rPr>
          <w:color w:val="000000"/>
          <w:sz w:val="24"/>
          <w:szCs w:val="24"/>
        </w:rPr>
        <w:t>Общая сумма договора равна сумме всех приложений (спецификаций) к нему и не может превышать 2.499.000 (два миллиона четыреста девяносто девять тысяч) рублей, в том числе НДС</w:t>
      </w:r>
      <w:r>
        <w:rPr>
          <w:sz w:val="24"/>
          <w:szCs w:val="24"/>
        </w:rPr>
        <w:t>;</w:t>
      </w:r>
    </w:p>
    <w:p>
      <w:pPr>
        <w:pStyle w:val="NoSpacing"/>
        <w:ind w:firstLine="567"/>
        <w:jc w:val="both"/>
        <w:rPr>
          <w:rFonts w:ascii="Times New Roman" w:hAnsi="Times New Roman"/>
          <w:sz w:val="24"/>
          <w:szCs w:val="24"/>
        </w:rPr>
      </w:pPr>
      <w:r>
        <w:rPr>
          <w:sz w:val="24"/>
          <w:szCs w:val="24"/>
        </w:rPr>
        <w:t>Иные существенные условия Сделки или порядок их определения:</w:t>
      </w:r>
    </w:p>
    <w:p>
      <w:pPr>
        <w:pStyle w:val="NoSpacing"/>
        <w:jc w:val="both"/>
        <w:rPr/>
      </w:pPr>
      <w:r>
        <w:rPr>
          <w:rFonts w:ascii="Times New Roman" w:hAnsi="Times New Roman"/>
          <w:sz w:val="24"/>
          <w:szCs w:val="24"/>
        </w:rPr>
        <w:t>Наименование, цена, порядок оплаты, количество, ассортимент и иные условия поставки товара, не указанные в договоре, указываются в приложениях (спецификациях) к договору, которые являются его неотъемлемой частью. Передача товара Покупателю осуществляется в срок не позднее 15 календарных дней с даты подписания соответствующего приложения (спецификации) к договору со склада Продавца (самовывоз). Договор вступает в силу с даты его подписания обеими сторонами и действует в течение 12 месяцев. Договор считается продленным еще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r>
        <w:rPr>
          <w:sz w:val="24"/>
          <w:szCs w:val="24"/>
        </w:rPr>
        <w:t>.</w:t>
      </w:r>
    </w:p>
    <w:p>
      <w:pPr>
        <w:pStyle w:val="NoSpacing"/>
        <w:jc w:val="both"/>
        <w:rPr>
          <w:rFonts w:ascii="Times New Roman" w:hAnsi="Times New Roman"/>
          <w:sz w:val="24"/>
          <w:szCs w:val="24"/>
        </w:rPr>
      </w:pPr>
      <w:r>
        <w:rPr>
          <w:sz w:val="24"/>
          <w:szCs w:val="24"/>
        </w:rPr>
      </w:r>
    </w:p>
    <w:p>
      <w:pPr>
        <w:pStyle w:val="NoSpacing"/>
        <w:ind w:firstLine="567"/>
        <w:jc w:val="both"/>
        <w:rPr>
          <w:rFonts w:ascii="Times New Roman" w:hAnsi="Times New Roman"/>
          <w:sz w:val="24"/>
          <w:szCs w:val="24"/>
        </w:rPr>
      </w:pPr>
      <w:r>
        <w:rPr>
          <w:sz w:val="24"/>
          <w:szCs w:val="24"/>
        </w:rPr>
        <w:t>Лицо (лица), имеющие заинтересованность в совершении Сделки, а также основания, по которым лицо (каждое из лиц), имеющее заинтересованность в совершении Сделки, является таковым:</w:t>
      </w:r>
    </w:p>
    <w:tbl>
      <w:tblPr>
        <w:tblStyle w:val="a6"/>
        <w:tblW w:w="10200" w:type="dxa"/>
        <w:jc w:val="start"/>
        <w:tblInd w:w="97" w:type="dxa"/>
        <w:tblLayout w:type="fixed"/>
        <w:tblCellMar>
          <w:top w:w="0" w:type="dxa"/>
          <w:start w:w="108" w:type="dxa"/>
          <w:bottom w:w="0" w:type="dxa"/>
          <w:end w:w="108" w:type="dxa"/>
        </w:tblCellMar>
        <w:tblLook w:val="04a0" w:noHBand="0" w:noVBand="1" w:firstColumn="1" w:lastRow="0" w:lastColumn="0" w:firstRow="1"/>
      </w:tblPr>
      <w:tblGrid>
        <w:gridCol w:w="4829"/>
        <w:gridCol w:w="5370"/>
      </w:tblGrid>
      <w:tr>
        <w:trPr/>
        <w:tc>
          <w:tcPr>
            <w:tcW w:w="4829" w:type="dxa"/>
            <w:tcBorders/>
          </w:tcPr>
          <w:p>
            <w:pPr>
              <w:pStyle w:val="NoSpacing"/>
              <w:widowControl/>
              <w:suppressAutoHyphens w:val="true"/>
              <w:spacing w:before="0" w:after="0"/>
              <w:jc w:val="center"/>
              <w:rPr>
                <w:rFonts w:ascii="Times New Roman" w:hAnsi="Times New Roman" w:eastAsia="Times New Roman" w:cs="Times New Roman"/>
                <w:kern w:val="0"/>
                <w:sz w:val="24"/>
                <w:szCs w:val="24"/>
                <w:lang w:val="ru-RU" w:eastAsia="ru-RU" w:bidi="ar-SA"/>
              </w:rPr>
            </w:pPr>
            <w:r>
              <w:rPr>
                <w:rFonts w:eastAsia="Times New Roman" w:cs="Times New Roman"/>
                <w:b/>
                <w:kern w:val="0"/>
                <w:sz w:val="24"/>
                <w:szCs w:val="24"/>
                <w:lang w:val="ru-RU" w:eastAsia="ru-RU" w:bidi="ar-SA"/>
              </w:rPr>
              <w:t>Наименование лица (лиц)</w:t>
            </w:r>
          </w:p>
        </w:tc>
        <w:tc>
          <w:tcPr>
            <w:tcW w:w="5370" w:type="dxa"/>
            <w:tcBorders/>
          </w:tcPr>
          <w:p>
            <w:pPr>
              <w:pStyle w:val="NoSpacing"/>
              <w:widowControl/>
              <w:suppressAutoHyphens w:val="true"/>
              <w:spacing w:before="0" w:after="0"/>
              <w:jc w:val="center"/>
              <w:rPr>
                <w:rFonts w:ascii="Times New Roman" w:hAnsi="Times New Roman" w:eastAsia="Times New Roman" w:cs="Times New Roman"/>
                <w:kern w:val="0"/>
                <w:sz w:val="24"/>
                <w:szCs w:val="24"/>
                <w:lang w:val="ru-RU" w:eastAsia="ru-RU" w:bidi="ar-SA"/>
              </w:rPr>
            </w:pPr>
            <w:r>
              <w:rPr>
                <w:rFonts w:eastAsia="Times New Roman" w:cs="Times New Roman"/>
                <w:b/>
                <w:kern w:val="0"/>
                <w:sz w:val="24"/>
                <w:szCs w:val="24"/>
                <w:lang w:val="ru-RU" w:eastAsia="ru-RU" w:bidi="ar-SA"/>
              </w:rPr>
              <w:t>Основания заинтересованности</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Члены Совета директоров Общества:</w:t>
            </w:r>
          </w:p>
          <w:p>
            <w:pPr>
              <w:pStyle w:val="NoSpacing"/>
              <w:widowControl/>
              <w:numPr>
                <w:ilvl w:val="0"/>
                <w:numId w:val="2"/>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Харин Алексей Анатольевич</w:t>
            </w:r>
          </w:p>
          <w:p>
            <w:pPr>
              <w:pStyle w:val="NoSpacing"/>
              <w:widowControl/>
              <w:numPr>
                <w:ilvl w:val="0"/>
                <w:numId w:val="2"/>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Александр Юрьевич</w:t>
            </w:r>
          </w:p>
          <w:p>
            <w:pPr>
              <w:pStyle w:val="NoSpacing"/>
              <w:widowControl/>
              <w:numPr>
                <w:ilvl w:val="0"/>
                <w:numId w:val="2"/>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Алексей Юрьевич</w:t>
            </w:r>
          </w:p>
          <w:p>
            <w:pPr>
              <w:pStyle w:val="NoSpacing"/>
              <w:widowControl/>
              <w:numPr>
                <w:ilvl w:val="0"/>
                <w:numId w:val="2"/>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en-US" w:eastAsia="ru-RU" w:bidi="ar-SA"/>
              </w:rPr>
              <w:t>Ирин Георгий Александрович</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Занимают должности в органах управления управляющей организации Закрытого акционерного общества «Пензенская кондитерская фабрика»</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Члены Совета директоров Общества:</w:t>
            </w:r>
          </w:p>
          <w:p>
            <w:pPr>
              <w:pStyle w:val="NoSpacing"/>
              <w:widowControl/>
              <w:numPr>
                <w:ilvl w:val="0"/>
                <w:numId w:val="2"/>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Харин Алексей Анатольевич</w:t>
            </w:r>
          </w:p>
          <w:p>
            <w:pPr>
              <w:pStyle w:val="NoSpacing"/>
              <w:widowControl/>
              <w:numPr>
                <w:ilvl w:val="0"/>
                <w:numId w:val="2"/>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Александр Юрьевич</w:t>
            </w:r>
          </w:p>
          <w:p>
            <w:pPr>
              <w:pStyle w:val="NoSpacing"/>
              <w:widowControl/>
              <w:numPr>
                <w:ilvl w:val="0"/>
                <w:numId w:val="2"/>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Алексей Юрьевич</w:t>
            </w:r>
          </w:p>
          <w:p>
            <w:pPr>
              <w:pStyle w:val="NoSpacing"/>
              <w:widowControl/>
              <w:numPr>
                <w:ilvl w:val="0"/>
                <w:numId w:val="2"/>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Бутко Кирилл Викторович</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Занимают должности в органах управления Закрытого акционерного общества «Пензенская кондитерская фабрика»</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Единоличный исполнительный орган Общества:</w:t>
            </w:r>
          </w:p>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Общество с ограниченной ответственностью «Объединенные кондитеры»</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Является единоличным исполнительным органом Закрытого акционерного общества «Пензенская кондитерская фабрика»</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Контролирующее лицо Общества:</w:t>
            </w:r>
          </w:p>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Акционерное общество «Холдинговая компания «Объединенные кондитеры», имеющее право прямо распоряжаться более 50 % голосов в высшем органе управления Общества</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Является контролирующим лицом Закрытого акционерного общества «Пензенская кондитерская фабрика», имеющим право прямо распоряжаться более 50 % голосов в высшем органе управления Закрытого акционерного общества «Пензенская кондитерская фабрика»</w:t>
            </w:r>
          </w:p>
        </w:tc>
      </w:tr>
    </w:tbl>
    <w:p>
      <w:pPr>
        <w:pStyle w:val="NoSpacing"/>
        <w:jc w:val="both"/>
        <w:rPr>
          <w:rFonts w:ascii="Times New Roman" w:hAnsi="Times New Roman"/>
          <w:sz w:val="24"/>
          <w:szCs w:val="24"/>
        </w:rPr>
      </w:pPr>
      <w:r>
        <w:rPr>
          <w:sz w:val="24"/>
          <w:szCs w:val="24"/>
        </w:rPr>
      </w:r>
    </w:p>
    <w:p>
      <w:pPr>
        <w:pStyle w:val="NoSpacing"/>
        <w:jc w:val="both"/>
        <w:rPr>
          <w:rFonts w:ascii="Times New Roman" w:hAnsi="Times New Roman"/>
          <w:sz w:val="24"/>
          <w:szCs w:val="24"/>
        </w:rPr>
      </w:pPr>
      <w:r>
        <w:rPr>
          <w:sz w:val="24"/>
          <w:szCs w:val="24"/>
        </w:rPr>
      </w:r>
    </w:p>
    <w:p>
      <w:pPr>
        <w:pStyle w:val="NoSpacing"/>
        <w:jc w:val="both"/>
        <w:rPr>
          <w:rFonts w:ascii="Times New Roman" w:hAnsi="Times New Roman"/>
          <w:sz w:val="24"/>
          <w:szCs w:val="24"/>
        </w:rPr>
      </w:pPr>
      <w:r>
        <w:rPr>
          <w:sz w:val="24"/>
          <w:szCs w:val="24"/>
        </w:rPr>
      </w:r>
    </w:p>
    <w:p>
      <w:pPr>
        <w:pStyle w:val="NoSpacing"/>
        <w:jc w:val="both"/>
        <w:rPr>
          <w:rFonts w:ascii="Times New Roman" w:hAnsi="Times New Roman"/>
          <w:sz w:val="24"/>
          <w:szCs w:val="24"/>
        </w:rPr>
      </w:pPr>
      <w:r>
        <w:rPr>
          <w:sz w:val="24"/>
          <w:szCs w:val="24"/>
        </w:rPr>
        <w:t>0</w:t>
      </w:r>
      <w:r>
        <w:rPr>
          <w:sz w:val="24"/>
          <w:szCs w:val="24"/>
        </w:rPr>
        <w:t>6</w:t>
      </w:r>
      <w:r>
        <w:rPr>
          <w:sz w:val="24"/>
          <w:szCs w:val="24"/>
        </w:rPr>
        <w:t xml:space="preserve"> </w:t>
      </w:r>
      <w:r>
        <w:rPr>
          <w:sz w:val="24"/>
          <w:szCs w:val="24"/>
        </w:rPr>
        <w:t>февраля</w:t>
      </w:r>
      <w:r>
        <w:rPr>
          <w:sz w:val="24"/>
          <w:szCs w:val="24"/>
        </w:rPr>
        <w:t xml:space="preserve"> 202</w:t>
      </w:r>
      <w:r>
        <w:rPr>
          <w:sz w:val="24"/>
          <w:szCs w:val="24"/>
        </w:rPr>
        <w:t>6</w:t>
      </w:r>
      <w:r>
        <w:rPr>
          <w:sz w:val="24"/>
          <w:szCs w:val="24"/>
        </w:rPr>
        <w:t xml:space="preserve"> года</w:t>
      </w:r>
    </w:p>
    <w:sectPr>
      <w:type w:val="nextPage"/>
      <w:pgSz w:w="11906" w:h="16838"/>
      <w:pgMar w:left="851" w:right="851" w:gutter="0" w:header="0" w:top="454" w:footer="0" w:bottom="4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ahoma">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0fb4"/>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9"/>
    <w:qFormat/>
    <w:rsid w:val="00635792"/>
    <w:pPr>
      <w:spacing w:before="108" w:after="108"/>
      <w:jc w:val="center"/>
      <w:outlineLvl w:val="0"/>
    </w:pPr>
    <w:rPr>
      <w:rFonts w:ascii="Arial" w:hAnsi="Arial" w:cs="Arial"/>
      <w:b/>
      <w:bCs/>
      <w:color w:val="26282F"/>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635792"/>
    <w:rPr>
      <w:rFonts w:ascii="Arial" w:hAnsi="Arial" w:cs="Arial"/>
      <w:b/>
      <w:bCs/>
      <w:color w:val="26282F"/>
      <w:sz w:val="24"/>
      <w:szCs w:val="24"/>
    </w:rPr>
  </w:style>
  <w:style w:type="paragraph" w:styleId="Style13">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4">
    <w:name w:val="Указатель"/>
    <w:basedOn w:val="Normal"/>
    <w:qFormat/>
    <w:pPr>
      <w:suppressLineNumbers/>
    </w:pPr>
    <w:rPr>
      <w:rFonts w:cs="Droid Sans"/>
    </w:rPr>
  </w:style>
  <w:style w:type="paragraph" w:styleId="user">
    <w:name w:val="Заголовок (user)"/>
    <w:basedOn w:val="Normal"/>
    <w:next w:val="BodyText"/>
    <w:qFormat/>
    <w:pPr>
      <w:keepNext w:val="true"/>
      <w:spacing w:before="240" w:after="120"/>
    </w:pPr>
    <w:rPr>
      <w:rFonts w:ascii="Liberation Sans" w:hAnsi="Liberation Sans" w:eastAsia="Tahoma" w:cs="Droid Sans"/>
      <w:sz w:val="28"/>
      <w:szCs w:val="28"/>
    </w:rPr>
  </w:style>
  <w:style w:type="paragraph" w:styleId="user1">
    <w:name w:val="Указатель (user)"/>
    <w:basedOn w:val="Normal"/>
    <w:qFormat/>
    <w:pPr>
      <w:suppressLineNumbers/>
    </w:pPr>
    <w:rPr>
      <w:rFonts w:cs="Droid Sans"/>
    </w:rPr>
  </w:style>
  <w:style w:type="paragraph" w:styleId="BodyText3">
    <w:name w:val="Body Text 3"/>
    <w:basedOn w:val="Normal"/>
    <w:qFormat/>
    <w:rsid w:val="004418e5"/>
    <w:pPr>
      <w:jc w:val="both"/>
    </w:pPr>
    <w:rPr>
      <w:b/>
      <w:bCs/>
      <w:i/>
    </w:rPr>
  </w:style>
  <w:style w:type="paragraph" w:styleId="DocumentMap">
    <w:name w:val="Document Map"/>
    <w:basedOn w:val="Normal"/>
    <w:semiHidden/>
    <w:qFormat/>
    <w:rsid w:val="008b1837"/>
    <w:pPr>
      <w:shd w:val="clear" w:color="auto" w:fill="000080"/>
    </w:pPr>
    <w:rPr>
      <w:rFonts w:ascii="Tahoma" w:hAnsi="Tahoma" w:cs="Tahoma"/>
      <w:sz w:val="20"/>
      <w:szCs w:val="20"/>
    </w:rPr>
  </w:style>
  <w:style w:type="paragraph" w:styleId="BalloonText">
    <w:name w:val="Balloon Text"/>
    <w:basedOn w:val="Normal"/>
    <w:semiHidden/>
    <w:qFormat/>
    <w:rsid w:val="00d72720"/>
    <w:pPr/>
    <w:rPr>
      <w:rFonts w:ascii="Tahoma" w:hAnsi="Tahoma" w:cs="Tahoma"/>
      <w:sz w:val="16"/>
      <w:szCs w:val="16"/>
    </w:rPr>
  </w:style>
  <w:style w:type="paragraph" w:styleId="BodyText2">
    <w:name w:val="Body Text 2"/>
    <w:basedOn w:val="Normal"/>
    <w:qFormat/>
    <w:rsid w:val="000c6019"/>
    <w:pPr>
      <w:spacing w:lineRule="auto" w:line="480" w:before="0" w:after="120"/>
    </w:pPr>
    <w:rPr/>
  </w:style>
  <w:style w:type="paragraph" w:styleId="NoSpacing">
    <w:name w:val="No Spacing"/>
    <w:uiPriority w:val="1"/>
    <w:qFormat/>
    <w:rsid w:val="00cb153a"/>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rsid w:val="00dd1a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LibreOffice/24.8.7.2$Linux_X86_64 LibreOffice_project/480$Build-2</Application>
  <AppVersion>15.0000</AppVersion>
  <Pages>1</Pages>
  <Words>411</Words>
  <Characters>2932</Characters>
  <CharactersWithSpaces>3303</CharactersWithSpaces>
  <Paragraphs>35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2024-08-01T09:19:00Z</dcterms:created>
  <dc:creator>rsefimov</dc:creator>
  <dc:description/>
  <dc:language>ru-RU</dc:language>
  <cp:lastModifiedBy/>
  <cp:lastPrinted>2020-01-23T10:18:00Z</cp:lastPrinted>
  <dcterms:modified xsi:type="dcterms:W3CDTF">2026-02-05T15:48:16Z</dcterms:modified>
  <cp:revision>12</cp:revision>
  <dc:subject/>
  <dc:title>Утверждено Советом директоров</dc:title>
</cp:coreProperties>
</file>

<file path=docProps/custom.xml><?xml version="1.0" encoding="utf-8"?>
<Properties xmlns="http://schemas.openxmlformats.org/officeDocument/2006/custom-properties" xmlns:vt="http://schemas.openxmlformats.org/officeDocument/2006/docPropsVTypes"/>
</file>